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FC6F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FC6FD3"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3094" w:type="dxa"/>
            <w:shd w:val="clear" w:color="auto" w:fill="auto"/>
          </w:tcPr>
          <w:p w:rsidR="00506D08" w:rsidRDefault="00FC6FD3" w:rsidP="000B328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  декабря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0B328A" w:rsidRPr="000B328A">
        <w:rPr>
          <w:rFonts w:ascii="Times New Roman" w:hAnsi="Times New Roman" w:cs="Times New Roman"/>
          <w:sz w:val="24"/>
          <w:szCs w:val="24"/>
        </w:rPr>
        <w:t>Об утверждении номенклатуры дел на 202</w:t>
      </w:r>
      <w:r w:rsidR="00FC6FD3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0B328A" w:rsidRPr="000B328A">
        <w:rPr>
          <w:rFonts w:ascii="Times New Roman" w:hAnsi="Times New Roman" w:cs="Times New Roman"/>
          <w:sz w:val="24"/>
          <w:szCs w:val="24"/>
        </w:rPr>
        <w:t xml:space="preserve"> год территориальной избирательной комиссии Красновишерского муниципального округа Пермского края</w:t>
      </w:r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42BE-80C4-4FAD-BF06-5A0962D0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2025-12-08T03:29:00Z</dcterms:created>
  <dcterms:modified xsi:type="dcterms:W3CDTF">2025-12-08T03:29:00Z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