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9"/>
        <w:gridCol w:w="3084"/>
        <w:gridCol w:w="3107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3A40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DC37A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223DB8" w:rsidP="00DC37A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bookmarkStart w:id="0" w:name="_GoBack"/>
            <w:bookmarkEnd w:id="0"/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января 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B71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0D7D57" w:rsidRPr="000D7D57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Красновишерского городского округа январь-июнь  2023 года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0D7D57" w:rsidRDefault="000D7D57" w:rsidP="000D7D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D7D57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Красновишерского городского округа по развитию правовой и электоральной культуры участников  избирательного процесса на 2023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3D72" w:rsidRDefault="00BC3D72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C3D72" w:rsidRDefault="000D7D57" w:rsidP="00BC3D72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0D7D57" w:rsidRDefault="000D7D5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71F47" w:rsidRDefault="00171F47" w:rsidP="00BC3D72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B84B72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23DB8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7F548-3D88-47EB-84D7-5EAC72A9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4</cp:revision>
  <cp:lastPrinted>2022-07-21T11:53:00Z</cp:lastPrinted>
  <dcterms:created xsi:type="dcterms:W3CDTF">2023-01-16T03:14:00Z</dcterms:created>
  <dcterms:modified xsi:type="dcterms:W3CDTF">2023-01-17T05:23:00Z</dcterms:modified>
</cp:coreProperties>
</file>